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F3846" w:rsidRPr="00824852" w:rsidRDefault="00EF384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94FCB" w:rsidRDefault="00794FCB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94FCB" w:rsidRDefault="00794FCB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94FCB" w:rsidRDefault="00794FCB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 w:hint="cs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0A38E9" w:rsidRDefault="000A38E9" w:rsidP="00794FCB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94FCB">
        <w:rPr>
          <w:rFonts w:ascii="TH SarabunPSK" w:hAnsi="TH SarabunPSK" w:cs="TH SarabunPSK" w:hint="cs"/>
          <w:b/>
          <w:bCs/>
          <w:i/>
          <w:iCs/>
          <w:color w:val="FF0000"/>
          <w:sz w:val="64"/>
          <w:szCs w:val="64"/>
          <w:cs/>
          <w:lang w:bidi="th-TH"/>
        </w:rPr>
        <w:t>“</w:t>
      </w:r>
      <w:r w:rsidR="00794FCB" w:rsidRPr="00794FCB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Weaving Art Creative (</w:t>
      </w:r>
      <w:r w:rsidR="001C7643" w:rsidRPr="00794FCB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สิ่งทอสร้างสรรค์</w:t>
      </w:r>
      <w:r w:rsidR="00794FCB" w:rsidRPr="00794FCB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  <w:r w:rsidRPr="00794FCB">
        <w:rPr>
          <w:rFonts w:ascii="TH SarabunPSK" w:hAnsi="TH SarabunPSK" w:cs="TH SarabunPSK" w:hint="cs"/>
          <w:b/>
          <w:bCs/>
          <w:i/>
          <w:iCs/>
          <w:color w:val="FF0000"/>
          <w:sz w:val="64"/>
          <w:szCs w:val="64"/>
          <w:cs/>
          <w:lang w:bidi="th-TH"/>
        </w:rPr>
        <w:t>”</w:t>
      </w:r>
      <w:r w:rsidR="001C7643" w:rsidRPr="00794FCB">
        <w:rPr>
          <w:rFonts w:ascii="TH SarabunPSK" w:hAnsi="TH SarabunPSK" w:cs="TH SarabunPSK"/>
          <w:b/>
          <w:bCs/>
          <w:i/>
          <w:iCs/>
          <w:color w:val="009900"/>
          <w:sz w:val="64"/>
          <w:szCs w:val="64"/>
          <w:cs/>
          <w:lang w:bidi="th-TH"/>
        </w:rPr>
        <w:br/>
      </w:r>
    </w:p>
    <w:p w:rsidR="00C93CFF" w:rsidRPr="00824852" w:rsidRDefault="00794FCB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4957763" cy="3305175"/>
            <wp:effectExtent l="76200" t="76200" r="90805" b="123825"/>
            <wp:docPr id="11" name="Picture 11" descr="ผลการค้นหารูปภาพสำหรับ Weaving kids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Weaving kids Cre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30" cy="3306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24852"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       </w:t>
      </w:r>
    </w:p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15F8B" w:rsidRDefault="00115F8B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Pr="00794FCB" w:rsidRDefault="00824852" w:rsidP="00824852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F10859" w:rsidRPr="00824852" w:rsidRDefault="00F10859" w:rsidP="00F1085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15F8B" w:rsidRPr="00FE165D" w:rsidRDefault="001C7643" w:rsidP="00115F8B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92D050"/>
          <w:sz w:val="72"/>
          <w:szCs w:val="72"/>
          <w:cs/>
          <w:lang w:val="en-US" w:bidi="th-TH"/>
        </w:rPr>
      </w:pPr>
      <w:r w:rsidRPr="00FE165D">
        <w:rPr>
          <w:rFonts w:ascii="TH SarabunPSK" w:eastAsia="Times New Roman" w:hAnsi="TH SarabunPSK" w:cs="TH SarabunPSK" w:hint="cs"/>
          <w:b/>
          <w:bCs/>
          <w:i/>
          <w:iCs/>
          <w:color w:val="92D050"/>
          <w:sz w:val="72"/>
          <w:szCs w:val="72"/>
          <w:cs/>
          <w:lang w:val="en-US" w:bidi="th-TH"/>
        </w:rPr>
        <w:t>สิ่งทอสร้างสรรค์</w:t>
      </w:r>
    </w:p>
    <w:p w:rsidR="00115F8B" w:rsidRDefault="00115F8B" w:rsidP="00EB19F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4E40B1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4E40B1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1C7643" w:rsidRDefault="001C7643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GB" w:eastAsia="ja-JP" w:bidi="th-TH"/>
              </w:rPr>
            </w:pPr>
            <w:r>
              <w:rPr>
                <w:rFonts w:ascii="TH SarabunPSK" w:eastAsia="MS Mincho" w:hAnsi="TH SarabunPSK" w:cs="TH SarabunPSK"/>
                <w:lang w:val="en-GB" w:eastAsia="ja-JP" w:bidi="th-TH"/>
              </w:rPr>
              <w:t>Weaving Art</w:t>
            </w:r>
            <w:r>
              <w:rPr>
                <w:rFonts w:ascii="TH SarabunPSK" w:eastAsia="MS Mincho" w:hAnsi="TH SarabunPSK" w:cs="TH SarabunPSK"/>
                <w:bCs/>
                <w:lang w:val="en-GB" w:eastAsia="ja-JP" w:bidi="th-TH"/>
              </w:rPr>
              <w:t xml:space="preserve"> Creative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522CE1" w:rsidRDefault="00522CE1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0F7C1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5 </w:t>
            </w:r>
            <w:r w:rsidR="000F7C1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ในการเรียนรู้</w:t>
            </w:r>
            <w:r w:rsidR="000F7C1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และเชื่อมโยงศิลปะสู่ชีวิตจริง นำไปประยุกต์ใช้ และเห็นคุณค่าของสิ่ง</w:t>
            </w:r>
            <w:r w:rsidR="000F7C1E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ต่างๆ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 w:rsidR="005D342A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1C7643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6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2CE1" w:rsidRPr="00766C10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522CE1" w:rsidRPr="00766C10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522CE1" w:rsidRDefault="00522CE1" w:rsidP="00522CE1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1E7DEB" w:rsidRPr="00F12917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522CE1" w:rsidRPr="00522CE1" w:rsidRDefault="00522CE1" w:rsidP="00522CE1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342931" w:rsidRPr="00FE165D" w:rsidRDefault="0034293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ความสำคัญและเส้นใยของผ้า</w:t>
            </w:r>
          </w:p>
          <w:p w:rsidR="00342931" w:rsidRPr="00FE165D" w:rsidRDefault="0034293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การดูแลและการซ่อมแซมเสื้อผ้า</w:t>
            </w:r>
          </w:p>
          <w:p w:rsidR="00342931" w:rsidRPr="00FE165D" w:rsidRDefault="00342931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 w:rsidRPr="00FE165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กระบวนการสร้างผลิตภัณฑ์จากเศษผ้า</w:t>
            </w:r>
            <w:r w:rsidRPr="00FE165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FE165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และการ</w:t>
            </w:r>
            <w:r w:rsidRPr="00FE165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shd w:val="clear" w:color="auto" w:fill="FFFFFF"/>
                <w:cs/>
                <w:lang w:val="en-US" w:bidi="th-TH"/>
              </w:rPr>
              <w:t>นำไปประยุกต์ใช้ให้เกิดประโยชน์</w:t>
            </w:r>
          </w:p>
          <w:p w:rsidR="00342931" w:rsidRPr="00FE165D" w:rsidRDefault="000F7C1E" w:rsidP="00522CE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 w:rsidRPr="00FE165D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วัสดุ</w:t>
            </w:r>
            <w:r w:rsidR="00342931" w:rsidRPr="00FE165D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 xml:space="preserve"> อุปกรณ์ </w:t>
            </w:r>
            <w:r w:rsidRPr="00FE165D">
              <w:rPr>
                <w:rFonts w:ascii="TH SarabunPSK" w:hAnsi="TH SarabunPSK" w:cs="TH SarabunPSK" w:hint="cs"/>
                <w:i/>
                <w:iCs/>
                <w:spacing w:val="-4"/>
                <w:sz w:val="30"/>
                <w:szCs w:val="30"/>
                <w:cs/>
                <w:lang w:bidi="th-TH"/>
              </w:rPr>
              <w:t>และ</w:t>
            </w:r>
            <w:r w:rsidR="00342931" w:rsidRPr="00FE165D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เทคนิควิธีการในการสร้างงาน</w:t>
            </w:r>
            <w:r w:rsidR="00342931" w:rsidRPr="00FE165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ทัศนศิลป์</w:t>
            </w:r>
          </w:p>
          <w:p w:rsidR="00522CE1" w:rsidRDefault="00522CE1" w:rsidP="00522CE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  <w:p w:rsidR="00522CE1" w:rsidRDefault="00522CE1" w:rsidP="00522CE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Pr="00D9103E" w:rsidRDefault="00F10859" w:rsidP="00D9103E">
            <w:pPr>
              <w:spacing w:before="40" w:after="4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7F3031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C46DBF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FE165D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7A7E6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FE165D" w:rsidRDefault="00342931" w:rsidP="00FE165D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val="en-US" w:bidi="th-TH"/>
              </w:rPr>
              <w:t>เข้าใจ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ความสำคัญและเส้นใยของผ้า</w:t>
            </w:r>
          </w:p>
          <w:p w:rsidR="00FE165D" w:rsidRPr="00FE165D" w:rsidRDefault="00342931" w:rsidP="00FE165D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อธิบายวิธีการดูแลรักษา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และการซ่อมแซมเสื้อผ้า</w:t>
            </w: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ได้</w:t>
            </w:r>
          </w:p>
          <w:p w:rsidR="00FE165D" w:rsidRDefault="00342931" w:rsidP="00FE165D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val="en-US" w:bidi="th-TH"/>
              </w:rPr>
              <w:t>อธิบายวิธีการ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สร้างผลิตภัณฑ์จากเศษผ้า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และ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val="en-US" w:bidi="th-TH"/>
              </w:rPr>
              <w:t>นำไปประยุกต์ใช้ให้เกิดประโยชน์</w:t>
            </w:r>
            <w:r w:rsidR="00D11162" w:rsidRPr="00FE165D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ได้</w:t>
            </w:r>
          </w:p>
          <w:p w:rsidR="00342931" w:rsidRPr="00FE165D" w:rsidRDefault="00342931" w:rsidP="00FE165D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บรรยายเหตุผลและวิธีการในการสร้างงานทัศนศิลป์ โดยเน้นถึงเทคนิคและวัสดุอุปกรณ์</w:t>
            </w:r>
            <w:r w:rsidR="00FE16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ที่ใช้</w:t>
            </w:r>
          </w:p>
          <w:p w:rsidR="002035C2" w:rsidRPr="00FE165D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0"/>
                <w:szCs w:val="20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FE165D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FE165D" w:rsidRPr="00FE165D" w:rsidRDefault="00D11162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สามารถใช้อุปกรณ์ในการสร้างสรรค์สิ่งทอได้</w:t>
            </w:r>
          </w:p>
          <w:p w:rsidR="00FE165D" w:rsidRDefault="00522CE1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 w:rsidR="009965E9"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FE165D" w:rsidRDefault="00522CE1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FE165D" w:rsidRPr="00FE165D" w:rsidRDefault="00522CE1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FE165D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FE165D" w:rsidRDefault="00522CE1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522CE1" w:rsidRPr="00FE165D" w:rsidRDefault="00522CE1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C73BBE" w:rsidRPr="00FE165D" w:rsidRDefault="00C73BBE" w:rsidP="00861C62">
            <w:pPr>
              <w:spacing w:after="0"/>
              <w:rPr>
                <w:rFonts w:ascii="TH SarabunPSK" w:hAnsi="TH SarabunPSK" w:cs="TH SarabunPSK"/>
                <w:sz w:val="20"/>
                <w:szCs w:val="20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2035C2" w:rsidRPr="00FE165D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FE165D" w:rsidRPr="00FE165D" w:rsidRDefault="008F696E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เคารพ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="00FE165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และ</w:t>
            </w: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เห็นคุณค่าของตนเองและผู้อื่น</w:t>
            </w:r>
          </w:p>
          <w:p w:rsidR="00FE165D" w:rsidRDefault="009965E9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FE165D" w:rsidRDefault="009965E9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FE165D" w:rsidRDefault="009965E9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มีความประณีต ละเอียดรอบคอบ</w:t>
            </w:r>
          </w:p>
          <w:p w:rsidR="009965E9" w:rsidRPr="00FE165D" w:rsidRDefault="009965E9" w:rsidP="00FE165D">
            <w:pPr>
              <w:pStyle w:val="ListParagraph"/>
              <w:numPr>
                <w:ilvl w:val="0"/>
                <w:numId w:val="22"/>
              </w:numPr>
              <w:spacing w:after="0"/>
              <w:ind w:left="307" w:hanging="307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A76D79" w:rsidRPr="00403387" w:rsidRDefault="00A76D79" w:rsidP="00C73BBE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8F696E" w:rsidRPr="00FE165D" w:rsidRDefault="00290AAB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เชื่อมโยง</w:t>
            </w:r>
            <w:r w:rsidR="008F696E" w:rsidRPr="00FE165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  <w:lang w:bidi="th-TH"/>
              </w:rPr>
              <w:t>สิ่งที่ได้พบเห็นสู่การเรียนรู้ผ่านการสร้างสรรค์ชิ้นงานที่หลากหลาย</w:t>
            </w:r>
          </w:p>
          <w:p w:rsidR="009965E9" w:rsidRPr="00FE165D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9965E9" w:rsidRPr="00FE165D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965E9" w:rsidRPr="00FE165D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9965E9" w:rsidRPr="00FE165D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การคิดวิเคราะห์โจทย์</w:t>
            </w:r>
            <w:r w:rsidR="00290AAB" w:rsidRPr="00FE165D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การสร้างสรรค์ผลงาน</w:t>
            </w: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อย่างมีเหตุผลเป็นขั้นเป็นตอน</w:t>
            </w: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ถามและกิจกรรมการเรียนรู้</w:t>
            </w:r>
          </w:p>
          <w:p w:rsidR="009965E9" w:rsidRDefault="009965E9" w:rsidP="00403387">
            <w:pPr>
              <w:spacing w:after="0"/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</w:p>
          <w:p w:rsidR="00157B45" w:rsidRPr="00FE165D" w:rsidRDefault="00157B45" w:rsidP="00403387">
            <w:pPr>
              <w:spacing w:after="0"/>
              <w:rPr>
                <w:rFonts w:ascii="TH SarabunPSK" w:hAnsi="TH SarabunPSK" w:cs="TH SarabunPSK"/>
                <w:b/>
                <w:sz w:val="40"/>
                <w:szCs w:val="40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 w:hint="cs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9965E9" w:rsidRPr="00FE165D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 และนำเสนอได้อย่างชัดเจน</w:t>
            </w:r>
          </w:p>
          <w:p w:rsidR="009965E9" w:rsidRPr="00FE165D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9965E9" w:rsidRPr="00FE165D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9965E9" w:rsidRPr="00FE165D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165D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FE165D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9965E9" w:rsidRPr="00FE165D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9965E9" w:rsidRPr="00FE165D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9965E9" w:rsidRPr="00FE165D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165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มีความสามารถในการสื่อสาร การคิด การแก้ปัญหา </w:t>
            </w:r>
          </w:p>
          <w:p w:rsidR="00A76D79" w:rsidRPr="009965E9" w:rsidRDefault="009965E9" w:rsidP="009965E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9965E9" w:rsidRPr="002315AD" w:rsidRDefault="009965E9" w:rsidP="009965E9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 w:hint="cs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9965E9" w:rsidRPr="00290AAB" w:rsidRDefault="00290AAB" w:rsidP="00FE165D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290AAB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ทักษะ</w:t>
            </w:r>
            <w:r w:rsidRPr="00290AA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ทำงานอย่างเป็นขั้นตอนตาม</w:t>
            </w:r>
            <w:r w:rsidRPr="00290AAB">
              <w:rPr>
                <w:rFonts w:ascii="TH SarabunPSK" w:hAnsi="TH SarabunPSK" w:cs="TH SarabunPSK"/>
                <w:spacing w:val="-20"/>
                <w:sz w:val="30"/>
                <w:szCs w:val="30"/>
                <w:cs/>
                <w:lang w:bidi="th-TH"/>
              </w:rPr>
              <w:t>กระบวนการทำงาน</w:t>
            </w:r>
            <w:r w:rsidR="00FE16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290AA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ด้วยความสะอาด ความรอบคอบ</w:t>
            </w:r>
            <w:r w:rsidR="00FE165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290AA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ด้วยศาสตร์ของวิชาการงานพื้นฐานอาชีพ</w:t>
            </w:r>
          </w:p>
          <w:p w:rsidR="009965E9" w:rsidRPr="009965E9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9965E9" w:rsidRPr="00157B45" w:rsidRDefault="009965E9" w:rsidP="009965E9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9965E9" w:rsidRPr="002315AD" w:rsidRDefault="009965E9" w:rsidP="009965E9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</w:tc>
      </w:tr>
    </w:tbl>
    <w:p w:rsidR="001B6FA6" w:rsidRPr="002315AD" w:rsidRDefault="001B6FA6" w:rsidP="002315AD">
      <w:pPr>
        <w:spacing w:after="0"/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5"/>
        <w:gridCol w:w="4451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8419E6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="002B4E6C"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9C7465" w:rsidRPr="009C7465" w:rsidRDefault="00157B45" w:rsidP="009C746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  <w:r w:rsidR="00E9149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FE165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สิ่งทอสร้างสรรค์</w:t>
            </w:r>
          </w:p>
          <w:p w:rsidR="009C7465" w:rsidRDefault="007F2772" w:rsidP="009C746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19" w:history="1">
              <w:r w:rsidR="009C7465" w:rsidRPr="004F4B42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https://www.youtube.com/watch?v=oqyhNDSXEfg</w:t>
              </w:r>
            </w:hyperlink>
          </w:p>
          <w:p w:rsidR="009C7465" w:rsidRDefault="00FE165D" w:rsidP="009C746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0" w:history="1">
              <w:r w:rsidRPr="006667C6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https://www.youtube.com/watch?v=ky3SDVLUUAQ</w:t>
              </w:r>
            </w:hyperlink>
          </w:p>
          <w:p w:rsidR="009C7465" w:rsidRPr="00FE165D" w:rsidRDefault="007F2772" w:rsidP="00FE165D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1" w:history="1"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=-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ByYj5G4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-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Hc</w:t>
              </w:r>
            </w:hyperlink>
          </w:p>
          <w:p w:rsidR="00C54EC5" w:rsidRDefault="007F2772" w:rsidP="00C54EC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2" w:history="1"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6WFQDdL5Pjk</w:t>
              </w:r>
            </w:hyperlink>
          </w:p>
          <w:p w:rsidR="00C54EC5" w:rsidRDefault="007F2772" w:rsidP="00C54EC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3" w:history="1"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jSjFF_5Nm0k</w:t>
              </w:r>
            </w:hyperlink>
          </w:p>
          <w:p w:rsidR="00C54EC5" w:rsidRDefault="007F2772" w:rsidP="00C54EC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4" w:history="1"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mw_tZLCLeEY</w:t>
              </w:r>
            </w:hyperlink>
          </w:p>
          <w:p w:rsidR="003E06F1" w:rsidRDefault="007F2772" w:rsidP="00C54EC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5" w:history="1"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="00C54EC5" w:rsidRPr="00590FA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P88utzBcBfk</w:t>
              </w:r>
            </w:hyperlink>
            <w:r w:rsidR="00C54EC5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val="en-US" w:bidi="th-TH"/>
              </w:rPr>
              <w:t xml:space="preserve">  </w:t>
            </w:r>
          </w:p>
          <w:p w:rsidR="00C54EC5" w:rsidRPr="002315AD" w:rsidRDefault="00C54EC5" w:rsidP="00FE165D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rtl/>
                <w:cs/>
                <w:lang w:val="en-US"/>
              </w:rPr>
            </w:pPr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 w:hint="cs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157B45" w:rsidRPr="00157B45" w:rsidRDefault="009C7465" w:rsidP="00157B45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เสื้อยืดเก่าสีสันต่างๆ</w:t>
            </w:r>
          </w:p>
          <w:p w:rsidR="00157B45" w:rsidRDefault="009C746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กระดาษลัง</w:t>
            </w:r>
          </w:p>
          <w:p w:rsidR="00157B45" w:rsidRPr="005A7B1A" w:rsidRDefault="009C746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กรรไกร</w:t>
            </w:r>
          </w:p>
          <w:p w:rsidR="00157B45" w:rsidRDefault="009C746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ไม้บรรทัด</w:t>
            </w:r>
          </w:p>
          <w:p w:rsidR="00157B45" w:rsidRPr="00E9149D" w:rsidRDefault="009C7465" w:rsidP="00157B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เข็มใหญ่</w:t>
            </w:r>
          </w:p>
          <w:p w:rsidR="00E9149D" w:rsidRPr="002315AD" w:rsidRDefault="00E9149D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0"/>
                <w:szCs w:val="20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94" w:type="pct"/>
        <w:tblInd w:w="1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7"/>
        <w:gridCol w:w="1839"/>
        <w:gridCol w:w="7673"/>
        <w:gridCol w:w="3452"/>
      </w:tblGrid>
      <w:tr w:rsidR="0073070B" w:rsidRPr="00C00C8F" w:rsidTr="00DE2533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E9149D" w:rsidTr="00DE253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D22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A61AF" w:rsidRDefault="00DA61AF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7720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ผืนผ้าที่ต่างกัน</w:t>
            </w:r>
          </w:p>
          <w:p w:rsidR="009C6FA9" w:rsidRPr="000F4D96" w:rsidRDefault="000F4D96" w:rsidP="000F4D96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35755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สร้างแรงบันดาลใจให้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="0035755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ได้รู้จักสิ่งทอที่เป็นผ้าไทย โดยเปิดคลิปกบนอกกะลา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มหัศจรรย์ ผ้าไทย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จาก </w:t>
            </w:r>
            <w:r w:rsidRPr="000F4D96">
              <w:rPr>
                <w:rFonts w:ascii="TH SarabunPSK" w:hAnsi="TH SarabunPSK" w:cs="TH SarabunPSK"/>
                <w:color w:val="0070C0"/>
                <w:sz w:val="28"/>
                <w:szCs w:val="28"/>
                <w:u w:val="single"/>
                <w:lang w:val="en-US" w:bidi="th-TH"/>
              </w:rPr>
              <w:t>https://www.youtube.com/watch?v=mWeOSvhWn</w:t>
            </w:r>
            <w:r w:rsidRPr="000F4D96">
              <w:rPr>
                <w:rFonts w:ascii="TH SarabunPSK" w:hAnsi="TH SarabunPSK" w:cs="TH SarabunPSK"/>
                <w:color w:val="0070C0"/>
                <w:sz w:val="28"/>
                <w:szCs w:val="28"/>
                <w:u w:val="single"/>
                <w:cs/>
                <w:lang w:val="en-US" w:bidi="th-TH"/>
              </w:rPr>
              <w:t>0</w:t>
            </w:r>
            <w:r w:rsidRPr="000F4D96">
              <w:rPr>
                <w:rFonts w:ascii="TH SarabunPSK" w:hAnsi="TH SarabunPSK" w:cs="TH SarabunPSK"/>
                <w:color w:val="0070C0"/>
                <w:sz w:val="28"/>
                <w:szCs w:val="28"/>
                <w:u w:val="single"/>
                <w:lang w:val="en-US" w:bidi="th-TH"/>
              </w:rPr>
              <w:t>k</w:t>
            </w:r>
          </w:p>
          <w:p w:rsidR="009C6FA9" w:rsidRPr="009C6FA9" w:rsidRDefault="0035755A" w:rsidP="009C6FA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ผู้สอนตั้งคำถาม ร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วมกันค้นหาความหมายของคำว่า “สิ่งทอ คืออะไร</w:t>
            </w:r>
            <w:r w:rsidR="000F4D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?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”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ให้ผู้เรียนร่วมกันอภิปราย</w:t>
            </w:r>
            <w:r w:rsidR="0061255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ความสำคัญ ประโยชน์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และยกตัวอย่างสิ่งทอที่อยู่รอบๆ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ตัวเรา</w:t>
            </w:r>
            <w:r w:rsidR="0061255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</w:t>
            </w:r>
          </w:p>
          <w:p w:rsidR="009C6FA9" w:rsidRPr="0057308E" w:rsidRDefault="0035755A" w:rsidP="009C6FA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ผู้สอนนำ</w:t>
            </w:r>
            <w:r w:rsidR="0077208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เศษ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ผ้าในลักษณะต่างๆ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ที่มี</w:t>
            </w:r>
            <w:r w:rsidR="0077208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ผิวสัมผัสที่แตกต่างกันมาให้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="0077208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เรียนดู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อาจสั่งงานให้ผู้เรียนนำของเล่นของใช้ส่วนตัวที่มีผ้าเป็นส่วนประกอบสำคัญมาในคาบเรียนนี้ด้วย</w:t>
            </w:r>
            <w:r w:rsidR="0077208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)</w:t>
            </w:r>
            <w:r w:rsidR="00772087" w:rsidRP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0F4D96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แล้ว</w:t>
            </w:r>
            <w:r w:rsidR="00772087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</w:t>
            </w:r>
            <w:r w:rsidR="002B76C5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แบ่งกลุ่มแลกเปลี่ยนเรียนรู้ โดย</w:t>
            </w:r>
            <w:r w:rsidR="00772087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ลองสัมผัสผ้าในลักษณะต่างๆ และบอกถึงความรู้สึกเมื่อได้สัมผัส</w:t>
            </w:r>
            <w:r w:rsidR="00772087" w:rsidRPr="0057308E"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772087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ผ้าที่ชอบ เหตุผลที่เลือก ฯลฯ</w:t>
            </w:r>
            <w:r w:rsidR="002B76C5" w:rsidRPr="0057308E"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2B76C5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กับเพื่อนๆ</w:t>
            </w:r>
            <w:r w:rsidR="000F4D96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2B76C5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ในกลุ่ม</w:t>
            </w:r>
          </w:p>
          <w:p w:rsidR="009C6FA9" w:rsidRDefault="00772087" w:rsidP="009C6FA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ให้ผู้เรียนร่วมกันแสดงความคิดเห็นถึงเส้นใยของผ้าแต่ละชนิด</w:t>
            </w:r>
            <w:r w:rsidR="002B76C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2B76C5" w:rsidRP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อาจให้แว่นขยายแก่ผู้เรียนเพื่อเพิ่มความสนุกและน่าค้นหาในการเรียนรู้</w:t>
            </w:r>
            <w:r w:rsidR="002B76C5" w:rsidRPr="000F4D96"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สังเกต</w:t>
            </w:r>
            <w:r w:rsidR="002B76C5" w:rsidRP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ลักษณะของเส้นใยที่ใช้เส้นด้ายสานกันไปมาจนกลายเป็นผืนผ้า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แล้วลองวาดลงบนกระ</w:t>
            </w:r>
            <w:r w:rsidR="008B4C18" w:rsidRP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ดาษด้วยสีต่างๆ</w:t>
            </w:r>
            <w:r w:rsidR="002B76C5" w:rsidRP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</w:t>
            </w:r>
            <w:r w:rsid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จะ</w:t>
            </w:r>
            <w:r w:rsid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ทำ</w:t>
            </w:r>
            <w:r w:rsidR="002B76C5" w:rsidRPr="000F4D9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ให้ผู้เรียนได้รู้จักเส้นตั้งและเส้นยืนเพื่อนำไปต่อ</w:t>
            </w:r>
            <w:r w:rsidR="002B76C5" w:rsidRPr="0057308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ยอดในกิจกรรมการทอผ้าต่อไป</w:t>
            </w:r>
          </w:p>
          <w:p w:rsidR="00E9149D" w:rsidRPr="000237A5" w:rsidRDefault="000F4D96" w:rsidP="000237A5">
            <w:pPr>
              <w:spacing w:after="0"/>
              <w:ind w:left="23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31C9C8FD" wp14:editId="253055F2">
                  <wp:extent cx="1861546" cy="1242000"/>
                  <wp:effectExtent l="95250" t="76200" r="100965" b="130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apFabricLamp-5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546" cy="124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9C6FA9" w:rsidRPr="009C6FA9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9C6FA9" w:rsidRPr="00A77E79" w:rsidRDefault="009C6FA9" w:rsidP="009C6FA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E9149D" w:rsidRPr="00E9149D" w:rsidTr="00DE2533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C00C8F" w:rsidTr="00DE2533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2" w:rsidRDefault="00506819" w:rsidP="00E02D2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E02D2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2" w:rsidRDefault="00E02D22" w:rsidP="00E02D22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กี่ทอทำมือ</w:t>
            </w:r>
          </w:p>
          <w:p w:rsidR="007B7BF0" w:rsidRPr="00E02D22" w:rsidRDefault="009C7465" w:rsidP="00E02D2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ผู้เรียนจะได้เรียนรู้การสร้างกี่ทอ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มือแบบพกพาด้วยตนเอง เรียนรู้การ</w:t>
            </w: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วัด 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</w:t>
            </w: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ตัด วิธีการ</w:t>
            </w:r>
            <w:r w:rsidR="00C207B5"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ทำไหมพรมจากเสื้อยืด</w:t>
            </w: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ที่ต้องใช้สมาธิเพื่อที่จะสร้างกี่ทอมือและไหมพรมให้สำเร็จและเรียบร้อยสวยงาม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E02D22"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 w:rsidR="00AE2531"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วัสดุ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อุปกรณ์</w:t>
            </w:r>
            <w:r w:rsidR="00AE2531"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ที่ต้องใช้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E02D22"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มีดังนี้</w:t>
            </w:r>
          </w:p>
          <w:p w:rsidR="00AE2531" w:rsidRDefault="00553E1B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เสื้อยืดเก่าสี</w:t>
            </w:r>
            <w:r w:rsidR="00C207B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ต่างๆ</w:t>
            </w:r>
          </w:p>
          <w:p w:rsidR="00AE2531" w:rsidRDefault="00553E1B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กระดาษลัง</w:t>
            </w:r>
          </w:p>
          <w:p w:rsidR="00AE2531" w:rsidRDefault="00553E1B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ไม้บรรทัด</w:t>
            </w:r>
          </w:p>
          <w:p w:rsidR="00AE2531" w:rsidRPr="00AE2531" w:rsidRDefault="00C207B5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กรรไกร</w:t>
            </w:r>
          </w:p>
          <w:p w:rsidR="00AE2531" w:rsidRPr="00AE2531" w:rsidRDefault="00E02D22" w:rsidP="00AE2531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553E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ให้ผู้เรียนดูวีดีโอการทอผ้า แล้วช่วยกันแสดงความคิดเห็นถึง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วัสดุ</w:t>
            </w:r>
            <w:r w:rsidR="00553E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อุปกรณ์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ที่ใช้</w:t>
            </w:r>
            <w:r w:rsidR="00553E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ในการทอผ้า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มี</w:t>
            </w:r>
            <w:r w:rsidR="00553E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อะไรบ้าง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="00553E1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วิธีการทำอย่างไร</w:t>
            </w:r>
          </w:p>
          <w:p w:rsidR="00553E1B" w:rsidRDefault="00553E1B" w:rsidP="00553E1B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เมื่อผู้เรียนทราบ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ถึงวัสดุ</w:t>
            </w:r>
            <w:r w:rsidR="00C207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อุปกรณ์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ที่ใช้ใน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การทอผ้าอย่างคร่าวๆ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 ผู้สอนชวน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เรียนมาสร้างกี่ทอผ้าอย่างง่ายด้วยตัวเอง โดยใช้กระดาษลัง</w:t>
            </w:r>
            <w:r w:rsidR="008B14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ตัดช่องถี่ๆ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B14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เท่าๆ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B14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กัน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หัวท้าย เ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พื่</w:t>
            </w:r>
            <w:r w:rsidR="008B14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อใช้ในการยึดเส้นด้ายแนวตั้ง โดยผู้สอนอาจให้ผู้เรียนดูตัวอย่างกี่ทออย่างง่าย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B14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แล้วร่วมกันอภิปรายหาวิธีการสร้างกี่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ทอผ้าอย่างง่ายด้วยต</w:t>
            </w:r>
            <w:r w:rsidR="008B14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นเอง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</w:p>
          <w:p w:rsidR="008B1420" w:rsidRDefault="008B1420" w:rsidP="00553E1B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ให้ผู้เรียนสร้างเส้นไหมพรมจากเสื้อยืดเก่าด้วยการตัดเป็นแทบผ้าเล็กๆ</w:t>
            </w:r>
            <w:r w:rsid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C207B5"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(ตามวิธีการในวีดีโอหัวข้อตัวอย่างกิจกรรมการเรียนรู้)</w:t>
            </w: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</w:t>
            </w:r>
            <w:r w:rsidR="00C207B5"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ทำเสร็จแล้วให้ผู้เรียน</w:t>
            </w: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แลกเปลี่ยนสี</w:t>
            </w:r>
            <w:r w:rsidR="00E51EAA"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เสื้อ</w:t>
            </w: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ยืดและช่วยกันสร้างเส้นไหมพรม เรียนรู้</w:t>
            </w:r>
            <w:r w:rsid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และปลูกฝังเรื่อง</w:t>
            </w: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การแบ่งปัน มีน้ำใจ</w:t>
            </w:r>
            <w:r w:rsid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E02D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ช่วยเหลือซึ่งกันและกัน</w:t>
            </w:r>
          </w:p>
          <w:p w:rsidR="00D0363D" w:rsidRPr="00D0363D" w:rsidRDefault="00D0363D" w:rsidP="00D0363D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10"/>
                <w:szCs w:val="10"/>
                <w:lang w:val="en-US" w:bidi="th-TH"/>
              </w:rPr>
            </w:pPr>
          </w:p>
          <w:p w:rsidR="00601AA0" w:rsidRPr="00D0363D" w:rsidRDefault="00E02D22" w:rsidP="00D0363D">
            <w:pPr>
              <w:spacing w:after="0"/>
              <w:jc w:val="center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0DBA6B83" wp14:editId="43BB2F92">
                  <wp:extent cx="2359726" cy="1566000"/>
                  <wp:effectExtent l="76200" t="76200" r="97790" b="1104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67-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726" cy="1566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 wp14:anchorId="59A2BBD7" wp14:editId="530D0D4F">
                  <wp:extent cx="1566000" cy="1566000"/>
                  <wp:effectExtent l="76200" t="76200" r="72390" b="1104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398f7152542a49f26585dec43870067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566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0363D" w:rsidRPr="00D0363D" w:rsidRDefault="00D0363D" w:rsidP="00D0363D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141300" w:rsidRPr="00141300" w:rsidRDefault="00141300" w:rsidP="00141300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C35A39" w:rsidRPr="009C6FA9" w:rsidRDefault="00C35A39" w:rsidP="00C35A3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 w:rsid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141300" w:rsidRPr="00D93C70" w:rsidRDefault="00141300" w:rsidP="00D93C7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  <w:p w:rsidR="00E52B5C" w:rsidRPr="008818F4" w:rsidRDefault="00E52B5C" w:rsidP="008818F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E9149D" w:rsidRPr="00C00C8F" w:rsidTr="00DE2533">
        <w:trPr>
          <w:trHeight w:val="35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9149D" w:rsidRPr="00C00C8F" w:rsidTr="00DE2533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Pr="0061255E" w:rsidRDefault="0061255E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3D" w:rsidRDefault="009C7465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E9149D" w:rsidRDefault="009C7465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3</w:t>
            </w:r>
            <w:r w:rsid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-</w:t>
            </w:r>
            <w:r w:rsid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5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3D" w:rsidRDefault="00D0363D" w:rsidP="00D0363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Weaving Art</w:t>
            </w:r>
          </w:p>
          <w:p w:rsidR="009C7465" w:rsidRPr="00D0363D" w:rsidRDefault="00F628D5" w:rsidP="00D0363D">
            <w:pPr>
              <w:spacing w:after="0"/>
              <w:ind w:firstLine="2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D90">
              <w:rPr>
                <w:rFonts w:ascii="TH SarabunPSK" w:hAnsi="TH SarabunPSK" w:cs="TH SarabunPSK"/>
                <w:noProof/>
                <w:sz w:val="28"/>
                <w:szCs w:val="28"/>
                <w:lang w:val="en-US" w:eastAsia="en-US" w:bidi="th-TH"/>
              </w:rPr>
              <w:drawing>
                <wp:anchor distT="0" distB="0" distL="114300" distR="114300" simplePos="0" relativeHeight="251658240" behindDoc="0" locked="0" layoutInCell="1" allowOverlap="1" wp14:anchorId="35356F40" wp14:editId="5DF9B733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1188085</wp:posOffset>
                  </wp:positionV>
                  <wp:extent cx="1490400" cy="2070000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96568ee77d85715c160387030e5b430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63D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“</w:t>
            </w:r>
            <w:r w:rsidR="00D0363D" w:rsidRPr="00D0363D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Weaving Art</w:t>
            </w:r>
            <w:r w:rsidR="00D0363D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”</w:t>
            </w:r>
            <w:r w:rsidR="00D0363D" w:rsidRPr="00D0363D"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  <w:t xml:space="preserve"> </w:t>
            </w:r>
            <w:r w:rsidR="00D0363D" w:rsidRP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เป็นกิจกรรมที่ฝึกให้ผู้เรียนได้ใช้ประสาทสัมผัสตาประสานกับการใช้ปลายนิ้วสานไหมพรมถักทอ สอด สาน ร้อยเรียง เปิดโอกาสให้เด็กได้ใช้อุปกรณ์ที่ต้องใช้ความสามารถมากยิ่งขึ้น</w:t>
            </w:r>
            <w:r w:rsid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0363D" w:rsidRP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  เข็ม กรรไกร ต้องใช้สมาธิจดจ่ออยู่กับงานผลงานจึงจะออกมาสำเร็จสวยงาม ต้องใช้ความระมัดระวังรอบคอบในการทำงาน ได้ใช้ทักษะการวัด ตัด มัดปม สาน วางแผน ออกแบบ รู้จักการนำสิ่งของเหลือใช่มาสร้างสรรค์เป็นผลงานชิ้นใหม่ อีกทั้งเมื่อผลงานเสร็จแล้วยังสามารถนำไปใช้ประโยชน์ในชีวิตจริงได้อีกด้วย</w:t>
            </w:r>
            <w:r w:rsid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</w:t>
            </w:r>
            <w:r w:rsidR="00D0363D" w:rsidRP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วัสดุ</w:t>
            </w:r>
            <w:r w:rsidR="00D0363D" w:rsidRP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อุปกรณ์</w:t>
            </w:r>
            <w:r w:rsidR="00D0363D" w:rsidRP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ที่ต้องใช้</w:t>
            </w:r>
            <w:r w:rsid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D0363D" w:rsidRP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มีดังนี้</w:t>
            </w:r>
            <w:r w:rsidR="00D0363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9C7465" w:rsidRPr="00D0363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  <w:p w:rsidR="009C7465" w:rsidRDefault="009C7465" w:rsidP="009C746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ไหมพรมสีต่างๆ</w:t>
            </w:r>
          </w:p>
          <w:p w:rsidR="009C7465" w:rsidRDefault="00C207B5" w:rsidP="009C746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ไหมพรม</w:t>
            </w:r>
            <w:r w:rsidR="009C746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เสื้อยืดเก่าสีสดใส</w:t>
            </w:r>
          </w:p>
          <w:p w:rsidR="009C7465" w:rsidRDefault="009C7465" w:rsidP="009C746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กระดาษลัง</w:t>
            </w:r>
          </w:p>
          <w:p w:rsidR="009C7465" w:rsidRDefault="009C7465" w:rsidP="009C746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ไม้บรรทัด</w:t>
            </w:r>
          </w:p>
          <w:p w:rsidR="00C207B5" w:rsidRDefault="00C207B5" w:rsidP="009C746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กรรไกร</w:t>
            </w:r>
          </w:p>
          <w:p w:rsidR="009C7465" w:rsidRPr="00AE2531" w:rsidRDefault="009C7465" w:rsidP="009C746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เข็มใหญ่</w:t>
            </w:r>
          </w:p>
          <w:p w:rsidR="009C7465" w:rsidRDefault="009C7465" w:rsidP="009C7465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F628D5" w:rsidRDefault="00F628D5" w:rsidP="009C7465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F628D5" w:rsidRDefault="00F628D5" w:rsidP="009C7465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F628D5" w:rsidRPr="00F628D5" w:rsidRDefault="00F628D5" w:rsidP="009C7465">
            <w:pPr>
              <w:spacing w:after="0"/>
              <w:jc w:val="thaiDistribute"/>
              <w:rPr>
                <w:rFonts w:ascii="TH SarabunPSK" w:hAnsi="TH SarabunPSK" w:cs="TH SarabunPSK" w:hint="cs"/>
                <w:sz w:val="18"/>
                <w:szCs w:val="18"/>
                <w:lang w:val="en-US" w:bidi="th-TH"/>
              </w:rPr>
            </w:pPr>
          </w:p>
          <w:p w:rsidR="009C7465" w:rsidRPr="00981D90" w:rsidRDefault="009C7465" w:rsidP="009C7465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เมื่อได้กี่ทอ</w:t>
            </w:r>
            <w:r w:rsid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ผ้า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และเส้นไหมพรมแล้ว ผู้สอนสาธิตการทอผ้า โดยอาจให้ผู้เรียนมีส่วนร่วมในการสาธิตวิธีการทอ</w:t>
            </w:r>
            <w:r w:rsid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ชวนให้ผู้เรียนคิดจากคำถาม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ว่า</w:t>
            </w:r>
            <w:r w:rsid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การทอผ้ามีวิธีการหรือควรทำ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อย่างไร</w:t>
            </w:r>
            <w:r w:rsid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ก่อนที่ผู้สอนจะช่วยแนะนำวิธีการทอที่ถูกต้องเหมาะสมให้กับผู้เรียน</w:t>
            </w:r>
            <w:r w:rsidRPr="00981D9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โดยแผ่นกระดาษลัง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เปรียบเสมือนกี่ทอ ไม้บรรทัดแทนไม้ขิดและต</w:t>
            </w:r>
            <w:r w:rsidRPr="00981D9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ะกอ</w:t>
            </w:r>
            <w:r w:rsidRPr="00981D90">
              <w:rPr>
                <w:rFonts w:ascii="TH SarabunPSK" w:hAnsi="TH SarabunPSK" w:cs="TH SarabunPSK"/>
                <w:color w:val="1D2129"/>
                <w:sz w:val="28"/>
                <w:szCs w:val="28"/>
                <w:shd w:val="clear" w:color="auto" w:fill="FFFFFF"/>
                <w:cs/>
                <w:lang w:bidi="th-TH"/>
              </w:rPr>
              <w:t>สำหรับแยกเส้นด้ายให้ขึ้นเพื่อเปิดให้จังหวะของเส้นด้าย พุ่งสอดขัดกัน</w:t>
            </w:r>
            <w:r w:rsidRPr="00981D9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ไหมพรมและเสื้อยืดเปรียบเสมือนเส้นไหมในการทอผ้า</w:t>
            </w:r>
            <w:r w:rsidRPr="00981D9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(สามารถดูวิธีการทอผ้าอย่างง่ายได้จากวีดีโอในหัวข้อตัวอย่างกิจกรรม)</w:t>
            </w:r>
          </w:p>
          <w:p w:rsidR="00E9149D" w:rsidRDefault="00F628D5" w:rsidP="00944C8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ให้ผู้เรียนเลือกใช้สีไหมพรม</w:t>
            </w:r>
            <w:r w:rsidR="009C7465"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ได้ตามจินตนาการและความเหมาะสม ในระหว่างการทอผู้เรียนอาจได้เรียนรู้การสร้างลวดลายใหม่ๆ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9C7465"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จากการ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ลองถูก</w:t>
            </w:r>
            <w:r w:rsidR="009C7465"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ลองผิด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="009C7465"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ผู้สอนคอย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</w:t>
            </w:r>
            <w:r w:rsidR="009C7465"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อำนวยความสะดวกและ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สังเกตพฤติกรรมและ</w:t>
            </w:r>
            <w:r w:rsidR="009C7465"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กระบวนการเรียนรู้ของผู้เรียน พร้อมทั้งเปิดโอกาสให้ผู้เรียนได้</w:t>
            </w:r>
            <w:r w:rsidRPr="00981D9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แลกเปลี่ยน</w:t>
            </w:r>
            <w:r w:rsid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ประสบการณ์ในการทำงาน</w:t>
            </w:r>
          </w:p>
          <w:p w:rsidR="00F628D5" w:rsidRPr="00F628D5" w:rsidRDefault="00F628D5" w:rsidP="00F628D5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D1" w:rsidRPr="00141300" w:rsidRDefault="00620DD1" w:rsidP="00620DD1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620DD1" w:rsidRPr="00141300" w:rsidRDefault="00620DD1" w:rsidP="00620DD1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620DD1" w:rsidRDefault="00620DD1" w:rsidP="00620DD1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620DD1" w:rsidRPr="009C6FA9" w:rsidRDefault="00620DD1" w:rsidP="00620DD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E9149D" w:rsidRPr="00620DD1" w:rsidRDefault="00620DD1" w:rsidP="00D0363D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  <w:bookmarkStart w:id="0" w:name="_GoBack"/>
            <w:bookmarkEnd w:id="0"/>
          </w:p>
        </w:tc>
      </w:tr>
      <w:tr w:rsidR="0073070B" w:rsidRPr="00C00C8F" w:rsidTr="00DE2533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C00C8F" w:rsidTr="00DE253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C8D" w:rsidRPr="00D226F4" w:rsidRDefault="0061255E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8D5" w:rsidRDefault="00D226F4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D226F4" w:rsidRPr="006E7133" w:rsidRDefault="00E51EAA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7133" w:rsidRDefault="006E7133" w:rsidP="00B20D62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C35A39" w:rsidRPr="00F628D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แปลงโฉมผ้าทอ</w:t>
            </w:r>
          </w:p>
          <w:p w:rsidR="005D7E91" w:rsidRPr="00DE2533" w:rsidRDefault="005D7E91" w:rsidP="00DE253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ผู้สอนทบทวนกิจกรรมการทอผ้าที่ได้ลง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มือทำเมื่อครั้งก่อน</w:t>
            </w:r>
            <w:r w:rsid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และให้ผู้เรียนร่วมกันแสดงความคิดเห็นถึงผลงานการทอผ้าว่า</w:t>
            </w:r>
            <w:r w:rsid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สามารถนำไปสร้างสรรค์เป็นของใช</w:t>
            </w:r>
            <w:r w:rsidR="00E51EAA"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อะไรได้บ้าง</w:t>
            </w:r>
          </w:p>
          <w:p w:rsidR="00B1479F" w:rsidRPr="00DE2533" w:rsidRDefault="005D7E91" w:rsidP="00B1479F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ผู้สอนถามถึงประสบการณ์การเย็บผ้าของผู้เรียน อาจให้ผู้เรียนที่มีประสบการณ์ลองอธิบายวิธีการเย็บผ้าให้เพื่อนฟัง </w:t>
            </w:r>
            <w:r w:rsidR="00C35A39"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และให้ผู้เรียนร่วมกันแสดงความคิดเห็นถึงประโยชน์ในการเย็บผ้า มีประโยชน์ต่อชีวิตประจำวันอย่างไรบ้าง</w:t>
            </w:r>
          </w:p>
          <w:p w:rsidR="00B1479F" w:rsidRPr="00DE2533" w:rsidRDefault="005D7E91" w:rsidP="00B1479F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ผู้สอนให้ผู้เรียนดูวิธีการเย็บผ้าอย่างง่ายในแบบต่างๆ เช่น</w:t>
            </w:r>
            <w:r w:rsid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การเนา การด้น</w:t>
            </w:r>
            <w:r w:rsid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E2533"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</w:p>
          <w:p w:rsidR="00322571" w:rsidRPr="00DE2533" w:rsidRDefault="00322571" w:rsidP="00B1479F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ให้ผู้เรียนนำความรู้การเย็บผ้าที่ได้</w:t>
            </w:r>
            <w:r w:rsidR="00C35A39"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ไปสร้างสรรค์ผ้าทอเป็นของใช้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ที่คงทนยิ่งขึ้น เช่น จานรองแก้ว พรมเช็ดเท้า หมอนเล็ก</w:t>
            </w:r>
            <w:r w:rsidR="00C35A39"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ตุ๊กตา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ฯลฯ</w:t>
            </w:r>
          </w:p>
          <w:p w:rsidR="00DE2533" w:rsidRPr="00DE2533" w:rsidRDefault="00DE2533" w:rsidP="00DE253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ให้ผู้เรียนนำเสนอผลงานของตนเอง ถึงแนวคิดและกระบวนการในการสร้างลวดลายการทอผ้าต่างๆ สิ่งที่ผู้เรียนได้ค้นพบระหว่างทำ ความรู้สึก และสิ่งที่ได้เรียนรู้ </w:t>
            </w:r>
          </w:p>
          <w:p w:rsidR="00DE2533" w:rsidRPr="00DE2533" w:rsidRDefault="00DE2533" w:rsidP="00DE253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ผู้สอนและผู้เรียนสรุปถึงประโยชน์และความสำคัญของงานทอผ้า การเย็บปักถักร้อย และการนำวัสดุสิ่งของรอบตัวมาสร้างสรรค์ผลงานงานศิลปะร่วมกัน</w:t>
            </w:r>
            <w:r w:rsidRPr="00DE253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</w:t>
            </w:r>
          </w:p>
          <w:p w:rsidR="00DE2533" w:rsidRDefault="00DE2533" w:rsidP="00DE253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E253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ข้อเสนอแนะ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: ผู้เรียนบางคนอาจเลือกที่จะใช้วิธีการมัด ผูก แทนการเย็บ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ซึ่งผู้สอน</w:t>
            </w:r>
            <w:r w:rsidRPr="00DE253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ควรเปิดโอกาสให้ผู้เรียนได้เลือกวิธีในการสร้างสรรค์ผลงานด้วยตนเอง</w:t>
            </w:r>
          </w:p>
          <w:p w:rsidR="00DE2533" w:rsidRPr="00DE2533" w:rsidRDefault="00DE2533" w:rsidP="00DE2533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  <w:p w:rsidR="00705896" w:rsidRDefault="00DE2533" w:rsidP="00DE2533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1DB1BF0D" wp14:editId="46FB249F">
                  <wp:extent cx="1475408" cy="1962000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6bb344ade619f7465095fe45ec5b658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08" cy="19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noProof/>
                <w:lang w:val="en-US" w:eastAsia="en-US" w:bidi="th-TH"/>
              </w:rPr>
              <w:drawing>
                <wp:inline distT="0" distB="0" distL="0" distR="0" wp14:anchorId="1F112F10" wp14:editId="71474324">
                  <wp:extent cx="1671029" cy="1501140"/>
                  <wp:effectExtent l="0" t="0" r="5715" b="3810"/>
                  <wp:docPr id="12" name="Picture 12" descr="ผลการค้นหารูปภาพสำหรับ Weaving kids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ผลการค้นหารูปภาพสำหรับ Weaving kids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911" cy="150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0867EBD0" wp14:editId="15CE3F8A">
                  <wp:extent cx="1475187" cy="1962000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934cbfafd6387dcc920b50d439e005c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87" cy="19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533" w:rsidRPr="00DE2533" w:rsidRDefault="00DE2533" w:rsidP="00810B62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sz w:val="44"/>
                <w:szCs w:val="44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B1479F" w:rsidRDefault="00B1479F" w:rsidP="00B147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C35A39" w:rsidRPr="00B1479F" w:rsidRDefault="00C35A39" w:rsidP="00B147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กระบวนการทำงาน</w:t>
            </w:r>
          </w:p>
          <w:p w:rsidR="00B1479F" w:rsidRPr="0082111A" w:rsidRDefault="00B1479F" w:rsidP="00B1479F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61255E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1255E" w:rsidRPr="00876ECB" w:rsidRDefault="0061255E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="0061255E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55E" w:rsidRPr="00876ECB" w:rsidRDefault="0061255E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61255E" w:rsidRDefault="0061255E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55E" w:rsidRPr="00876ECB" w:rsidRDefault="0061255E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5330FC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61255E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55E" w:rsidRPr="00876ECB" w:rsidRDefault="0061255E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61255E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61255E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55E" w:rsidRPr="00876ECB" w:rsidRDefault="0061255E" w:rsidP="006125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72" w:rsidRDefault="007F2772" w:rsidP="00353A40">
      <w:pPr>
        <w:spacing w:after="0" w:line="240" w:lineRule="auto"/>
      </w:pPr>
      <w:r>
        <w:separator/>
      </w:r>
    </w:p>
  </w:endnote>
  <w:endnote w:type="continuationSeparator" w:id="0">
    <w:p w:rsidR="007F2772" w:rsidRDefault="007F2772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72" w:rsidRDefault="007F2772" w:rsidP="00353A40">
      <w:pPr>
        <w:spacing w:after="0" w:line="240" w:lineRule="auto"/>
      </w:pPr>
      <w:r>
        <w:separator/>
      </w:r>
    </w:p>
  </w:footnote>
  <w:footnote w:type="continuationSeparator" w:id="0">
    <w:p w:rsidR="007F2772" w:rsidRDefault="007F2772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7C7F"/>
    <w:rsid w:val="00022AAA"/>
    <w:rsid w:val="000237A5"/>
    <w:rsid w:val="00023B7B"/>
    <w:rsid w:val="00023E59"/>
    <w:rsid w:val="00025CA4"/>
    <w:rsid w:val="00026F28"/>
    <w:rsid w:val="0002754A"/>
    <w:rsid w:val="00031D74"/>
    <w:rsid w:val="000335CB"/>
    <w:rsid w:val="00040028"/>
    <w:rsid w:val="0004347F"/>
    <w:rsid w:val="00043C47"/>
    <w:rsid w:val="00044C9C"/>
    <w:rsid w:val="000466D6"/>
    <w:rsid w:val="000513D1"/>
    <w:rsid w:val="00053A71"/>
    <w:rsid w:val="00055C09"/>
    <w:rsid w:val="00055DCC"/>
    <w:rsid w:val="00061B4E"/>
    <w:rsid w:val="00065C62"/>
    <w:rsid w:val="00073B1E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4D96"/>
    <w:rsid w:val="000F78A1"/>
    <w:rsid w:val="000F79BB"/>
    <w:rsid w:val="000F7C1E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4199"/>
    <w:rsid w:val="001B479E"/>
    <w:rsid w:val="001B6FA6"/>
    <w:rsid w:val="001B7405"/>
    <w:rsid w:val="001C29A2"/>
    <w:rsid w:val="001C3666"/>
    <w:rsid w:val="001C7643"/>
    <w:rsid w:val="001D297F"/>
    <w:rsid w:val="001E2076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23248"/>
    <w:rsid w:val="002249EC"/>
    <w:rsid w:val="00225993"/>
    <w:rsid w:val="002279FF"/>
    <w:rsid w:val="002315AD"/>
    <w:rsid w:val="00233219"/>
    <w:rsid w:val="00233A13"/>
    <w:rsid w:val="0024025C"/>
    <w:rsid w:val="00243610"/>
    <w:rsid w:val="00247967"/>
    <w:rsid w:val="00257E98"/>
    <w:rsid w:val="00266B23"/>
    <w:rsid w:val="00271E67"/>
    <w:rsid w:val="00273BE8"/>
    <w:rsid w:val="00275143"/>
    <w:rsid w:val="00275365"/>
    <w:rsid w:val="002759B6"/>
    <w:rsid w:val="00276366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174B"/>
    <w:rsid w:val="003325A8"/>
    <w:rsid w:val="00336838"/>
    <w:rsid w:val="003378C4"/>
    <w:rsid w:val="003407BE"/>
    <w:rsid w:val="00342931"/>
    <w:rsid w:val="00347FC2"/>
    <w:rsid w:val="003525B9"/>
    <w:rsid w:val="00352D65"/>
    <w:rsid w:val="00353A40"/>
    <w:rsid w:val="0035755A"/>
    <w:rsid w:val="003600A7"/>
    <w:rsid w:val="00360DDE"/>
    <w:rsid w:val="003766FE"/>
    <w:rsid w:val="00376EF5"/>
    <w:rsid w:val="003800ED"/>
    <w:rsid w:val="003822BF"/>
    <w:rsid w:val="0039056A"/>
    <w:rsid w:val="00392F15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308E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1255E"/>
    <w:rsid w:val="00620DD1"/>
    <w:rsid w:val="00622235"/>
    <w:rsid w:val="00632696"/>
    <w:rsid w:val="00632E5A"/>
    <w:rsid w:val="00634AFD"/>
    <w:rsid w:val="0063512A"/>
    <w:rsid w:val="00635806"/>
    <w:rsid w:val="00637685"/>
    <w:rsid w:val="00637805"/>
    <w:rsid w:val="00640ECD"/>
    <w:rsid w:val="0064102C"/>
    <w:rsid w:val="00641C19"/>
    <w:rsid w:val="00643144"/>
    <w:rsid w:val="0064357A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1BD2"/>
    <w:rsid w:val="00702186"/>
    <w:rsid w:val="00704878"/>
    <w:rsid w:val="00705896"/>
    <w:rsid w:val="00710BDA"/>
    <w:rsid w:val="00710D1F"/>
    <w:rsid w:val="0071335C"/>
    <w:rsid w:val="00714FCD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2087"/>
    <w:rsid w:val="00774573"/>
    <w:rsid w:val="0078010F"/>
    <w:rsid w:val="00784AD8"/>
    <w:rsid w:val="00784B3C"/>
    <w:rsid w:val="00790CE2"/>
    <w:rsid w:val="0079180F"/>
    <w:rsid w:val="00793F2D"/>
    <w:rsid w:val="00794FCB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772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4852"/>
    <w:rsid w:val="00825D35"/>
    <w:rsid w:val="008300E7"/>
    <w:rsid w:val="00833C12"/>
    <w:rsid w:val="008351FD"/>
    <w:rsid w:val="00836814"/>
    <w:rsid w:val="008419E6"/>
    <w:rsid w:val="00843F9E"/>
    <w:rsid w:val="008447FA"/>
    <w:rsid w:val="00845A07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D5563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F12"/>
    <w:rsid w:val="009013B3"/>
    <w:rsid w:val="00901A58"/>
    <w:rsid w:val="00902646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B33"/>
    <w:rsid w:val="00947D2A"/>
    <w:rsid w:val="009549BA"/>
    <w:rsid w:val="009556DD"/>
    <w:rsid w:val="009564A0"/>
    <w:rsid w:val="00957266"/>
    <w:rsid w:val="009619E0"/>
    <w:rsid w:val="00962735"/>
    <w:rsid w:val="00965E8E"/>
    <w:rsid w:val="00966247"/>
    <w:rsid w:val="009704BB"/>
    <w:rsid w:val="00973440"/>
    <w:rsid w:val="0097488B"/>
    <w:rsid w:val="00977CB5"/>
    <w:rsid w:val="00977F5C"/>
    <w:rsid w:val="00981D90"/>
    <w:rsid w:val="00985362"/>
    <w:rsid w:val="00985C72"/>
    <w:rsid w:val="009965E9"/>
    <w:rsid w:val="009A439F"/>
    <w:rsid w:val="009B1B68"/>
    <w:rsid w:val="009B2B0B"/>
    <w:rsid w:val="009C16A9"/>
    <w:rsid w:val="009C2FFB"/>
    <w:rsid w:val="009C6FA9"/>
    <w:rsid w:val="009C7465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95275"/>
    <w:rsid w:val="00BA09C7"/>
    <w:rsid w:val="00BA5687"/>
    <w:rsid w:val="00BB465D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07B5"/>
    <w:rsid w:val="00C215A5"/>
    <w:rsid w:val="00C22126"/>
    <w:rsid w:val="00C2271C"/>
    <w:rsid w:val="00C2442F"/>
    <w:rsid w:val="00C271A1"/>
    <w:rsid w:val="00C35A39"/>
    <w:rsid w:val="00C36974"/>
    <w:rsid w:val="00C40BED"/>
    <w:rsid w:val="00C46DBF"/>
    <w:rsid w:val="00C50D49"/>
    <w:rsid w:val="00C534D1"/>
    <w:rsid w:val="00C54994"/>
    <w:rsid w:val="00C54EC5"/>
    <w:rsid w:val="00C61BD5"/>
    <w:rsid w:val="00C62BD6"/>
    <w:rsid w:val="00C63908"/>
    <w:rsid w:val="00C670AF"/>
    <w:rsid w:val="00C67DBE"/>
    <w:rsid w:val="00C7157E"/>
    <w:rsid w:val="00C73BBE"/>
    <w:rsid w:val="00C800AB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7A7A"/>
    <w:rsid w:val="00CF11A6"/>
    <w:rsid w:val="00CF2637"/>
    <w:rsid w:val="00CF279C"/>
    <w:rsid w:val="00D00C7C"/>
    <w:rsid w:val="00D02D4D"/>
    <w:rsid w:val="00D02DF9"/>
    <w:rsid w:val="00D0363D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B53"/>
    <w:rsid w:val="00D823F4"/>
    <w:rsid w:val="00D8472E"/>
    <w:rsid w:val="00D84A5D"/>
    <w:rsid w:val="00D9103E"/>
    <w:rsid w:val="00D93C70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7E38"/>
    <w:rsid w:val="00DC7F73"/>
    <w:rsid w:val="00DD316B"/>
    <w:rsid w:val="00DD5521"/>
    <w:rsid w:val="00DD662C"/>
    <w:rsid w:val="00DE1DDF"/>
    <w:rsid w:val="00DE2533"/>
    <w:rsid w:val="00DE2AA9"/>
    <w:rsid w:val="00DE4680"/>
    <w:rsid w:val="00DE539F"/>
    <w:rsid w:val="00DF1532"/>
    <w:rsid w:val="00DF2179"/>
    <w:rsid w:val="00DF63DB"/>
    <w:rsid w:val="00E0030B"/>
    <w:rsid w:val="00E01373"/>
    <w:rsid w:val="00E02D22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43045"/>
    <w:rsid w:val="00E50D06"/>
    <w:rsid w:val="00E51EAA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7EF"/>
    <w:rsid w:val="00F147BA"/>
    <w:rsid w:val="00F17AC7"/>
    <w:rsid w:val="00F24B71"/>
    <w:rsid w:val="00F24E09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28D5"/>
    <w:rsid w:val="00F658C0"/>
    <w:rsid w:val="00F7445E"/>
    <w:rsid w:val="00F761D0"/>
    <w:rsid w:val="00F80FC7"/>
    <w:rsid w:val="00F821F3"/>
    <w:rsid w:val="00F903E2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0ABB"/>
    <w:rsid w:val="00FE165D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Data" Target="diagrams/data3.xml"/><Relationship Id="rId39" Type="http://schemas.openxmlformats.org/officeDocument/2006/relationships/diagramLayout" Target="diagrams/layout4.xml"/><Relationship Id="rId21" Type="http://schemas.openxmlformats.org/officeDocument/2006/relationships/hyperlink" Target="https://www.youtube.com/watch?v=-ByYj5G4-Hc" TargetMode="External"/><Relationship Id="rId34" Type="http://schemas.openxmlformats.org/officeDocument/2006/relationships/image" Target="media/image5.jpg"/><Relationship Id="rId42" Type="http://schemas.microsoft.com/office/2007/relationships/diagramDrawing" Target="diagrams/drawing4.xml"/><Relationship Id="rId47" Type="http://schemas.microsoft.com/office/2007/relationships/diagramDrawing" Target="diagrams/drawing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Colors" Target="diagrams/colors3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youtube.com/watch?v=mw_tZLCLeEY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8.jpg"/><Relationship Id="rId40" Type="http://schemas.openxmlformats.org/officeDocument/2006/relationships/diagramQuickStyle" Target="diagrams/quickStyle4.xml"/><Relationship Id="rId45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youtube.com/watch?v=jSjFF_5Nm0k" TargetMode="External"/><Relationship Id="rId28" Type="http://schemas.openxmlformats.org/officeDocument/2006/relationships/diagramQuickStyle" Target="diagrams/quickStyle3.xml"/><Relationship Id="rId36" Type="http://schemas.openxmlformats.org/officeDocument/2006/relationships/image" Target="media/image7.jpeg"/><Relationship Id="rId49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oqyhNDSXEfg" TargetMode="External"/><Relationship Id="rId31" Type="http://schemas.openxmlformats.org/officeDocument/2006/relationships/image" Target="media/image2.jpeg"/><Relationship Id="rId44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6WFQDdL5Pjk" TargetMode="Externa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openxmlformats.org/officeDocument/2006/relationships/image" Target="media/image6.jpeg"/><Relationship Id="rId43" Type="http://schemas.openxmlformats.org/officeDocument/2006/relationships/diagramData" Target="diagrams/data5.xm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www.youtube.com/watch?v=P88utzBcBfk" TargetMode="External"/><Relationship Id="rId33" Type="http://schemas.openxmlformats.org/officeDocument/2006/relationships/image" Target="media/image4.jpeg"/><Relationship Id="rId38" Type="http://schemas.openxmlformats.org/officeDocument/2006/relationships/diagramData" Target="diagrams/data4.xml"/><Relationship Id="rId46" Type="http://schemas.openxmlformats.org/officeDocument/2006/relationships/diagramColors" Target="diagrams/colors5.xml"/><Relationship Id="rId20" Type="http://schemas.openxmlformats.org/officeDocument/2006/relationships/hyperlink" Target="https://www.youtube.com/watch?v=ky3SDVLUUAQ" TargetMode="External"/><Relationship Id="rId41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6C2EA9B0-2EBF-42E4-8EC4-D9BDA2CEFDCA}" type="presOf" srcId="{F4F5A4C4-D563-4B8D-B973-D835196B8B1B}" destId="{D11984C4-ABE3-4053-B39F-4F58807237D0}" srcOrd="0" destOrd="0" presId="urn:microsoft.com/office/officeart/2005/8/layout/vList5"/>
    <dgm:cxn modelId="{A69C867B-1106-46A4-95FD-7A10A3DCCF98}" type="presOf" srcId="{B0C568AF-D7B3-4C3E-9836-2D9530B4EA56}" destId="{0E05C0FC-BB9C-40CF-9EC6-C246D6B0F939}" srcOrd="0" destOrd="0" presId="urn:microsoft.com/office/officeart/2005/8/layout/vList5"/>
    <dgm:cxn modelId="{FC5C9B53-397E-40EE-B881-D3E82854A867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0E10AF3-B4E4-4D26-8B23-3E7277FA0A76}" type="presParOf" srcId="{D11984C4-ABE3-4053-B39F-4F58807237D0}" destId="{945EE7E4-46C6-4215-BF8F-381F632AB702}" srcOrd="0" destOrd="0" presId="urn:microsoft.com/office/officeart/2005/8/layout/vList5"/>
    <dgm:cxn modelId="{9F32C2E9-6BA0-48A1-BA7B-76E6A7473D2A}" type="presParOf" srcId="{945EE7E4-46C6-4215-BF8F-381F632AB702}" destId="{F33B4428-B9D4-401B-98A5-D02B980A53CF}" srcOrd="0" destOrd="0" presId="urn:microsoft.com/office/officeart/2005/8/layout/vList5"/>
    <dgm:cxn modelId="{A7D63E1D-F049-4B32-87E7-E407A9D27C97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C5077001-39CA-4677-A155-F94D5A30EB85}" type="presOf" srcId="{B0C568AF-D7B3-4C3E-9836-2D9530B4EA56}" destId="{0E05C0FC-BB9C-40CF-9EC6-C246D6B0F939}" srcOrd="0" destOrd="0" presId="urn:microsoft.com/office/officeart/2005/8/layout/vList5"/>
    <dgm:cxn modelId="{D8078F39-FF54-43B1-81ED-035C11E56047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A61B23F1-17D0-41EC-95E1-F7F4AD07D0A0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E4CC5BF-AA3B-4265-9206-2FE65D4F3A4D}" type="presParOf" srcId="{D11984C4-ABE3-4053-B39F-4F58807237D0}" destId="{945EE7E4-46C6-4215-BF8F-381F632AB702}" srcOrd="0" destOrd="0" presId="urn:microsoft.com/office/officeart/2005/8/layout/vList5"/>
    <dgm:cxn modelId="{31DF83EB-3E3C-4C76-A13D-19ADB42DBC6A}" type="presParOf" srcId="{945EE7E4-46C6-4215-BF8F-381F632AB702}" destId="{F33B4428-B9D4-401B-98A5-D02B980A53CF}" srcOrd="0" destOrd="0" presId="urn:microsoft.com/office/officeart/2005/8/layout/vList5"/>
    <dgm:cxn modelId="{D363687F-889C-4B58-88D7-BAF9118E2A0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CAE54EE-012C-456E-91C7-94F6025AD4C6}" type="presOf" srcId="{F4F5A4C4-D563-4B8D-B973-D835196B8B1B}" destId="{D11984C4-ABE3-4053-B39F-4F58807237D0}" srcOrd="0" destOrd="0" presId="urn:microsoft.com/office/officeart/2005/8/layout/vList5"/>
    <dgm:cxn modelId="{4CA8D459-DA27-4A55-A41F-6D4EEABBF070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95C5B721-9D76-4C75-AB88-5BC252FA1968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429680B-1109-4CF5-BA40-FD3CA3CB2CE5}" type="presParOf" srcId="{D11984C4-ABE3-4053-B39F-4F58807237D0}" destId="{945EE7E4-46C6-4215-BF8F-381F632AB702}" srcOrd="0" destOrd="0" presId="urn:microsoft.com/office/officeart/2005/8/layout/vList5"/>
    <dgm:cxn modelId="{BEA2ACE9-D9B4-452B-B097-92B84C32584E}" type="presParOf" srcId="{945EE7E4-46C6-4215-BF8F-381F632AB702}" destId="{F33B4428-B9D4-401B-98A5-D02B980A53CF}" srcOrd="0" destOrd="0" presId="urn:microsoft.com/office/officeart/2005/8/layout/vList5"/>
    <dgm:cxn modelId="{1E1ABA20-2BED-4C53-9C09-485FA3C99BE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3F54524-51A0-4449-8430-3D6B5FA9DDEB}" type="presOf" srcId="{EE95F71A-253D-46FD-9EBD-AF532BDDBA61}" destId="{F33B4428-B9D4-401B-98A5-D02B980A53CF}" srcOrd="0" destOrd="0" presId="urn:microsoft.com/office/officeart/2005/8/layout/vList5"/>
    <dgm:cxn modelId="{99671074-A14E-4250-9C02-0BE26ECB2898}" type="presOf" srcId="{F4F5A4C4-D563-4B8D-B973-D835196B8B1B}" destId="{D11984C4-ABE3-4053-B39F-4F58807237D0}" srcOrd="0" destOrd="0" presId="urn:microsoft.com/office/officeart/2005/8/layout/vList5"/>
    <dgm:cxn modelId="{F9246CE6-FC30-4136-A519-ECE512AC9AD4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82BF992-4EDC-4F19-BE71-0FD672F63CBB}" type="presParOf" srcId="{D11984C4-ABE3-4053-B39F-4F58807237D0}" destId="{945EE7E4-46C6-4215-BF8F-381F632AB702}" srcOrd="0" destOrd="0" presId="urn:microsoft.com/office/officeart/2005/8/layout/vList5"/>
    <dgm:cxn modelId="{28CAD615-B614-4B8F-893A-F14BAD19032D}" type="presParOf" srcId="{945EE7E4-46C6-4215-BF8F-381F632AB702}" destId="{F33B4428-B9D4-401B-98A5-D02B980A53CF}" srcOrd="0" destOrd="0" presId="urn:microsoft.com/office/officeart/2005/8/layout/vList5"/>
    <dgm:cxn modelId="{18962810-0ACE-4F4C-933C-082C0AE8DEDD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03FD3C2-82F0-4D75-8A43-198F868BD212}" type="presOf" srcId="{B0C568AF-D7B3-4C3E-9836-2D9530B4EA56}" destId="{0E05C0FC-BB9C-40CF-9EC6-C246D6B0F939}" srcOrd="0" destOrd="0" presId="urn:microsoft.com/office/officeart/2005/8/layout/vList5"/>
    <dgm:cxn modelId="{A1A1C88E-1CE5-4AEE-A6DA-4DE55F5A9C2A}" type="presOf" srcId="{F4F5A4C4-D563-4B8D-B973-D835196B8B1B}" destId="{D11984C4-ABE3-4053-B39F-4F58807237D0}" srcOrd="0" destOrd="0" presId="urn:microsoft.com/office/officeart/2005/8/layout/vList5"/>
    <dgm:cxn modelId="{8B03E24C-5E4F-45D0-B4E6-3B2071DEFB02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9D2A3B08-BDF1-4197-8153-7F8B2D280874}" type="presParOf" srcId="{D11984C4-ABE3-4053-B39F-4F58807237D0}" destId="{945EE7E4-46C6-4215-BF8F-381F632AB702}" srcOrd="0" destOrd="0" presId="urn:microsoft.com/office/officeart/2005/8/layout/vList5"/>
    <dgm:cxn modelId="{A9F73060-9FF5-4832-B123-7EC411DAEA03}" type="presParOf" srcId="{945EE7E4-46C6-4215-BF8F-381F632AB702}" destId="{F33B4428-B9D4-401B-98A5-D02B980A53CF}" srcOrd="0" destOrd="0" presId="urn:microsoft.com/office/officeart/2005/8/layout/vList5"/>
    <dgm:cxn modelId="{D64BD660-46F5-4CCA-BDEB-1B367EF486E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B115-014C-4319-A932-B7647AFA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11</cp:revision>
  <cp:lastPrinted>2015-12-23T03:44:00Z</cp:lastPrinted>
  <dcterms:created xsi:type="dcterms:W3CDTF">2018-11-01T02:17:00Z</dcterms:created>
  <dcterms:modified xsi:type="dcterms:W3CDTF">2018-11-01T03:32:00Z</dcterms:modified>
</cp:coreProperties>
</file>